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667FB" w:rsidRPr="00A13323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667FB" w:rsidRPr="00A13323" w:rsidRDefault="005667FB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EKONOMSKA POLITIKA</w:t>
            </w:r>
          </w:p>
        </w:tc>
      </w:tr>
      <w:tr w:rsidR="005667FB" w:rsidRPr="00A13323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EUE206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667FB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Prof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>. Željko Mrnjavac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667FB" w:rsidRPr="00A13323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7FB" w:rsidRPr="00A13323" w:rsidRDefault="009D5DD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667F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667FB"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5667FB"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5667FB"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5667FB"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5667FB"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67FB" w:rsidRPr="00A13323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67FB" w:rsidRPr="00A13323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67FB" w:rsidRPr="00A13323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67FB" w:rsidRPr="00A13323" w:rsidRDefault="005667FB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B5930" w:rsidRPr="00A13323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5930" w:rsidRPr="001B5930" w:rsidRDefault="001B5930" w:rsidP="00D8174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B5930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A13323">
              <w:rPr>
                <w:rFonts w:ascii="Arial" w:hAnsi="Arial" w:cs="Arial"/>
              </w:rPr>
              <w:t xml:space="preserve">Studenti koji su savladali teoretska znanja pojedinačnih ekonomskih disciplina imaju potrebu povezati ta znanja međusobno, te sa stvarnošću nacionalnog gospodarstva u kojem žive i političkim okruženjem. Također u okviru ovog predmeta ukazuje se na višeslojnu razinu djelovanja države na gospodarstvo, što se ne ograničava samo na makroekonomsko upravljanje fiskalnom i monetarnom politikom, već djeluje istovremeno na mikro, </w:t>
            </w:r>
            <w:proofErr w:type="spellStart"/>
            <w:r w:rsidRPr="00A13323">
              <w:rPr>
                <w:rFonts w:ascii="Arial" w:hAnsi="Arial" w:cs="Arial"/>
              </w:rPr>
              <w:t>mezo</w:t>
            </w:r>
            <w:proofErr w:type="spellEnd"/>
            <w:r w:rsidRPr="00A13323">
              <w:rPr>
                <w:rFonts w:ascii="Arial" w:hAnsi="Arial" w:cs="Arial"/>
              </w:rPr>
              <w:t xml:space="preserve"> i makro razinu, na različite sektore i gospodarske subjekte s čitavim nizom instrumenata i isprepletenih ciljeva. Usvojena znanja omogućuju razumijevanje i kritičku interpretaciju nacionalnog i međunarodnog okruženja u kojem će svakodnevno donositi odluke kao gospodarski subjekti i kao glasači koji odabiru nosioce ekonomske politike.</w:t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Osnovna znanja iz područja mikroekonomije i makroekonomije</w:t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</w:rPr>
              <w:t>Osnovni ishod učenja razumijevanje i sposobnost kritičke analize nacionalnog i međunarodnog okruženja koje se oblikuje utjecajem države na gospodarstvo.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1.Sintetiziranje teorijskih znanja o utjecaju državnih institucija na gospodarstvo.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2.Apstraktno kreativno povezivanje spoznaja o tržišnim nedostacima i potrebi državne intervencije uvažavajući ekonomsku, društvenu, političku i povijesnu perspektivu.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 Samostalna analiza i prosudba utjecaja pojedinačnih mjera državne politike na gospodarske subjekte i gospodarstvo u cjelini.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4.Identifikacija i razlikovanje stvarnih i skrivenih motiva na kojima se zasnivaju pojedine mjere državne intervencije u gospodarstvu.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5.Prosudiba utjecaja interesnih skupina i međunarodnih institucija na oblikovanje  ekonomske politike.</w:t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34"/>
              <w:gridCol w:w="2336"/>
              <w:gridCol w:w="499"/>
              <w:gridCol w:w="2415"/>
              <w:gridCol w:w="561"/>
            </w:tblGrid>
            <w:tr w:rsidR="001B5930" w:rsidRPr="00A13323" w:rsidTr="00C616CA">
              <w:trPr>
                <w:trHeight w:val="190"/>
              </w:trPr>
              <w:tc>
                <w:tcPr>
                  <w:tcW w:w="534" w:type="dxa"/>
                  <w:vMerge w:val="restart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Predavanja </w:t>
                  </w:r>
                </w:p>
              </w:tc>
              <w:tc>
                <w:tcPr>
                  <w:tcW w:w="2976" w:type="dxa"/>
                  <w:gridSpan w:val="2"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Seminari </w:t>
                  </w:r>
                </w:p>
              </w:tc>
            </w:tr>
            <w:tr w:rsidR="001B5930" w:rsidRPr="00A13323" w:rsidTr="00C616CA">
              <w:trPr>
                <w:trHeight w:val="352"/>
              </w:trPr>
              <w:tc>
                <w:tcPr>
                  <w:tcW w:w="534" w:type="dxa"/>
                  <w:vMerge/>
                  <w:tcBorders>
                    <w:top w:val="single" w:sz="24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Tema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1B5930" w:rsidRPr="00A13323" w:rsidTr="00C616CA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Teorijske osnove ekonomske politike: ekonomska politika i ekonomska znanost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Društvene preferencije i institucije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 xml:space="preserve">Društvenopolitičko uređenje kao okvir ekonomske </w:t>
                  </w:r>
                  <w:proofErr w:type="spellStart"/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poliitke</w:t>
                  </w:r>
                  <w:proofErr w:type="spellEnd"/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 xml:space="preserve">Tržišne i „ne-tržišne“ manjkavosti: 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Nosioci i ciljevi ekonomske politike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623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lastRenderedPageBreak/>
                    <w:t xml:space="preserve">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Politika poretka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Stabilizacijska ekonomska politika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375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6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Politika međunarodnih ekonomskih odnosa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7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Politika rasta i strukturne politike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87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8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Ekonomska politika raspodjele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1B5930" w:rsidRPr="00A13323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9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Socijalna politika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190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 xml:space="preserve">Industrijska politika 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11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Politika zapošljavanja i politike tržišta rada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281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12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Javni izbor, demokracija i politika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13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Birokracija, rentijerstvo i korupcija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14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Hrvatska i ekonomska politika EU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  <w:tr w:rsidR="001B5930" w:rsidRPr="00A13323" w:rsidTr="00C616CA">
              <w:trPr>
                <w:trHeight w:val="372"/>
              </w:trPr>
              <w:tc>
                <w:tcPr>
                  <w:tcW w:w="534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15 </w:t>
                  </w:r>
                </w:p>
              </w:tc>
              <w:tc>
                <w:tcPr>
                  <w:tcW w:w="2336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Rekapitulacija ili slobodna tema</w:t>
                  </w:r>
                </w:p>
              </w:tc>
              <w:tc>
                <w:tcPr>
                  <w:tcW w:w="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2415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1B5930" w:rsidRPr="00A13323" w:rsidRDefault="001B5930" w:rsidP="00C616CA">
                  <w:pPr>
                    <w:pStyle w:val="Default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Aktualni članci i primjeri iz prakse</w:t>
                  </w:r>
                </w:p>
              </w:tc>
              <w:tc>
                <w:tcPr>
                  <w:tcW w:w="561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18" w:space="0" w:color="000000"/>
                  </w:tcBorders>
                  <w:vAlign w:val="center"/>
                </w:tcPr>
                <w:p w:rsidR="001B5930" w:rsidRPr="00A13323" w:rsidRDefault="001B5930" w:rsidP="00C616CA">
                  <w:pPr>
                    <w:pStyle w:val="Default"/>
                    <w:jc w:val="center"/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 xml:space="preserve">2 </w:t>
                  </w:r>
                </w:p>
              </w:tc>
            </w:tr>
          </w:tbl>
          <w:p w:rsidR="001B5930" w:rsidRPr="00A13323" w:rsidRDefault="001B5930" w:rsidP="00C616C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930" w:rsidRPr="00A13323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B5930" w:rsidRPr="00A13323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B5930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B5930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B5930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Kroz pripremu i izlaganje referata o objavljenom aktualnom  istraživanju rada provjeriti će se sposobnost interpretiranja i analiziranja problematike ekonomske politike, te argumentiranja i prezentiranja vlastitih stavova.  Kroz raspravu  na nastavi ocijenit će se povezivanje dijelova u cjelinu, iskazivanje originalnosti, te sposobnost obrane stavova zasnovane na ekonomskoj teoriji. Tijekom nastave može se provesti kolokvij s problemskim pitanjima i pitanjima višestrukog  izbora koji zamjenjuje ispit, a u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isptinim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 rokovima provesti će se ispit kao kombinacija </w:t>
            </w: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 xml:space="preserve">pismenog i 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usmenog ili samo usmenog ispita.</w:t>
            </w:r>
          </w:p>
        </w:tc>
      </w:tr>
      <w:tr w:rsidR="001B5930" w:rsidRPr="00A13323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B593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Nicola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Acocella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 xml:space="preserve"> (2005), Počela ekonomske politike: vrijednosti i tehnike, MATE,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>Mrnjavac, Ž.: Kako (ne)funkcionira ekonomska politika - skripta, Ekonomski fakultet, Split 1999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Aktualni članci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1B593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5667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B5930" w:rsidRPr="00A13323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B5930" w:rsidRPr="00A13323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1B5930" w:rsidRPr="00A13323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B5930" w:rsidRPr="00A13323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B5930" w:rsidRPr="00A13323" w:rsidRDefault="001B5930" w:rsidP="005667F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1332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B5930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5930" w:rsidRPr="00A13323" w:rsidRDefault="001B593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5930" w:rsidRPr="00A13323" w:rsidRDefault="001B593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sectPr w:rsidR="001424F1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FF7" w:rsidRDefault="00107FF7" w:rsidP="005667FB">
      <w:pPr>
        <w:spacing w:after="0" w:line="240" w:lineRule="auto"/>
      </w:pPr>
      <w:r>
        <w:separator/>
      </w:r>
    </w:p>
  </w:endnote>
  <w:endnote w:type="continuationSeparator" w:id="0">
    <w:p w:rsidR="00107FF7" w:rsidRDefault="00107FF7" w:rsidP="00566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FF7" w:rsidRDefault="00107FF7" w:rsidP="005667FB">
      <w:pPr>
        <w:spacing w:after="0" w:line="240" w:lineRule="auto"/>
      </w:pPr>
      <w:r>
        <w:separator/>
      </w:r>
    </w:p>
  </w:footnote>
  <w:footnote w:type="continuationSeparator" w:id="0">
    <w:p w:rsidR="00107FF7" w:rsidRDefault="00107FF7" w:rsidP="00566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7FB"/>
    <w:rsid w:val="00107FF7"/>
    <w:rsid w:val="0013688C"/>
    <w:rsid w:val="001424F1"/>
    <w:rsid w:val="001B5930"/>
    <w:rsid w:val="001E211E"/>
    <w:rsid w:val="0032673E"/>
    <w:rsid w:val="005667FB"/>
    <w:rsid w:val="009D5DDB"/>
    <w:rsid w:val="00FE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7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667F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667FB"/>
    <w:rPr>
      <w:rFonts w:cs="Times New Roman"/>
      <w:b/>
      <w:bCs/>
    </w:rPr>
  </w:style>
  <w:style w:type="paragraph" w:customStyle="1" w:styleId="Default">
    <w:name w:val="Default"/>
    <w:rsid w:val="005667F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566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67F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66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667F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983</Words>
  <Characters>5605</Characters>
  <Application>Microsoft Office Word</Application>
  <DocSecurity>0</DocSecurity>
  <Lines>46</Lines>
  <Paragraphs>13</Paragraphs>
  <ScaleCrop>false</ScaleCrop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2018-06-21T07:02:00Z</dcterms:created>
  <dcterms:modified xsi:type="dcterms:W3CDTF">2018-06-28T08:40:00Z</dcterms:modified>
</cp:coreProperties>
</file>